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97" w:rsidRPr="002B1D0B" w:rsidRDefault="00FF0797" w:rsidP="002B1D0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литературы для подготовки к квалификационному</w:t>
      </w:r>
    </w:p>
    <w:p w:rsidR="00602EE1" w:rsidRPr="002B1D0B" w:rsidRDefault="00FF0797" w:rsidP="002B1D0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тестированию по специальности «Радиотерапия»</w:t>
      </w:r>
    </w:p>
    <w:p w:rsidR="00FF0797" w:rsidRPr="002B1D0B" w:rsidRDefault="00FF0797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E397D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Хофер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 Компьютерная томография. Базовое руководство.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3-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изд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-2011.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1E397D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Богданов А.Н., Максимов А.Г.,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Саржевский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В.О., Аносов Н.А. Особые формы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неходжкинских</w:t>
      </w:r>
      <w:proofErr w:type="spellEnd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лимфом</w:t>
      </w:r>
      <w:proofErr w:type="spellEnd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//Практическая онкология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2004.-</w:t>
      </w:r>
      <w:proofErr w:type="gram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Т.5, № 3.-C.216-222.</w:t>
      </w:r>
    </w:p>
    <w:p w:rsidR="002B1D0B" w:rsidRPr="002B1D0B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Ковригина А.М. и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Пробатова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Н.А.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Лимфома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жкина</w:t>
      </w:r>
      <w:proofErr w:type="spellEnd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крупноклеточные </w:t>
      </w:r>
      <w:proofErr w:type="spellStart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лимфомы</w:t>
      </w:r>
      <w:proofErr w:type="spellEnd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М.: ООО «Медицинское информационное агентство», </w:t>
      </w:r>
      <w:proofErr w:type="gram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2007.-</w:t>
      </w:r>
      <w:proofErr w:type="gram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216 с.</w:t>
      </w:r>
    </w:p>
    <w:p w:rsidR="002B1D0B" w:rsidRPr="002B1D0B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Ю. А. Криволапов, Е. Е. </w:t>
      </w:r>
      <w:proofErr w:type="spellStart"/>
      <w:r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Леенман</w:t>
      </w:r>
      <w:proofErr w:type="spellEnd"/>
      <w:r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Морфологическая диагностика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лимфом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— СПб.: «Издательско-полиграфическая компания «КОСТА», 2006. — 208 с.: ил.</w:t>
      </w:r>
    </w:p>
    <w:p w:rsidR="002B1D0B" w:rsidRPr="002B1D0B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Мазуров В.И., Криволапов Ю.А. Классификация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лимфом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Морфология,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иммунофенотип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молекулярная генетика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неходжкинских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лимфом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Практическая онкология –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2004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т.5,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№3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с.169-175.</w:t>
      </w:r>
    </w:p>
    <w:p w:rsidR="002B1D0B" w:rsidRPr="002B1D0B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Столбовой А.В. Радиотерапевтический компонент при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лимфомах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Часть 1. Обоснование на фоне лекарственных успехов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Гематология и трансфузиология –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2011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т.56,№</w:t>
      </w:r>
      <w:proofErr w:type="gramEnd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с.21-27.</w:t>
      </w:r>
    </w:p>
    <w:p w:rsidR="002B1D0B" w:rsidRPr="002B1D0B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D34EF1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Столбовой А.В. Радиотерапевтический компонент при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лимфомах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Часть 2. Клинико-патогенетические и методические особенности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Гематология и трансфузиология –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2011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т.56, №3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с.27-35.</w:t>
      </w:r>
    </w:p>
    <w:p w:rsidR="002B1D0B" w:rsidRPr="00D34EF1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Шмаков  Р.</w:t>
      </w:r>
      <w:proofErr w:type="gram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Г.,  Демина  Е. А. Тактика  ведения беременности при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лимфомах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 Практическая онкология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–2009, т.10, №4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 228-236.</w:t>
      </w:r>
    </w:p>
    <w:p w:rsidR="002B1D0B" w:rsidRPr="002B1D0B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Д. Мейл, Дж.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Бростофф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Д. Б. Рот, А. </w:t>
      </w:r>
      <w:proofErr w:type="spellStart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Ройтт</w:t>
      </w:r>
      <w:proofErr w:type="spellEnd"/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Иммунология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2007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М.: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Логосфера</w:t>
      </w:r>
      <w:proofErr w:type="spellEnd"/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с.52-53.</w:t>
      </w:r>
    </w:p>
    <w:p w:rsidR="002B1D0B" w:rsidRPr="002B1D0B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Лучевая терапия в лечении рака. Практическое </w:t>
      </w:r>
      <w:proofErr w:type="gram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руководство.-</w:t>
      </w:r>
      <w:proofErr w:type="gram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University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press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Cambridge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-2000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.25, 47.</w:t>
      </w:r>
    </w:p>
    <w:p w:rsidR="002B1D0B" w:rsidRPr="002B1D0B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Рак молочной железы. Клинические рекомендации / [кол. авт.]</w:t>
      </w:r>
      <w:r w:rsidR="00D34EF1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-М.: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Издательская группа РОНЦ, 2017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D34EF1" w:rsidRPr="00D34E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88 с.</w:t>
      </w:r>
    </w:p>
    <w:p w:rsidR="002B1D0B" w:rsidRPr="002B1D0B" w:rsidRDefault="002B1D0B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1D0B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Хофер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 Компьютерная томография. Базовое руководство.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3-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изд</w:t>
      </w:r>
      <w:proofErr w:type="spellEnd"/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.-2011-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232 c.</w:t>
      </w:r>
    </w:p>
    <w:p w:rsidR="004967D9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Ang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K.K., Garden A.S. Radiotherapy for head and neck cancers. Indications and techniques.-4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:lang w:val="en-US"/>
        </w:rPr>
        <w:t>th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ed.-Philadelphia, Baltimore, N.-Y.-Wolters Kluwer/Lippincott Williams &amp; Wilkins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-</w:t>
      </w:r>
      <w:r w:rsid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bookmarkStart w:id="0" w:name="_GoBack"/>
      <w:bookmarkEnd w:id="0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2012.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Prescribing, recording, and reporting photon beam therapy, </w:t>
      </w:r>
      <w:r w:rsidR="001E397D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ICRU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Report  No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 50.  1993.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Prescribing, recording, and reporting photon beam therapy, Supplement to ICRU Report No.50.  ICRU Report 62. Bethesda, MD: ICRU; 1999.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Prescribing, recording, and reporting electron beam therapy. ICRU Report 71.- J ICRU 2004; 4.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ICRU  38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(1985)   Dose and volume specification for reporting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intracavitary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therapy in gynecology.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(GYN)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GEC-ESTRO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I.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Haie-Meder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C., Richard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Pötter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R., et al.  Recommendations from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Gynaecological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(GYN) GEC-ESTRO Working Group (I): concepts and terms in 3D image based 3D treatment planning in cervix cancer brachytherapy with emphasis on MRI assessment of GTV and CTV.-Radiotherapy and Oncology.-2005.-vol.74.-p. 235–245</w:t>
      </w:r>
      <w:r w:rsidR="001E397D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(GYN)</w:t>
      </w:r>
      <w:r w:rsidRP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GEC-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ESTRO  II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Pötter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instrText xml:space="preserve"> HYPERLINK "mailto:richard.poetter@akhwien.at" </w:instrTex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fldChar w:fldCharType="separate"/>
      </w:r>
      <w:r w:rsidR="00077406" w:rsidRPr="002B1D0B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fldChar w:fldCharType="end"/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R., 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Haie-Meder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C.,  Van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Limbergen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E. et al., Recommendations  from 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gynaecological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(GYN) GEC ESTRO working  group (II):  Concepts  and  terms  in  3D  image-based treatment  planning  in  cervix  cancer  brachytherapy - 3D  dose volume  parameters  and  aspects  of  3D  image-based anatomy, radiation  physics,  radiobiology.-Radiotherapy and Oncology.-2006.-vol.78, Iss.1-p. 67–77</w:t>
      </w:r>
      <w:r w:rsidR="001E397D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(GYN)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GEC-ESTRO.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(III)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Hellebust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T.,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Kristis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C., Berger D. et al.,  Recommendations from 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Gynaecological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(GYN) GEC-ESTRO  Working Group: considerations  and  pitfalls  in  commissioning  and  applicator reconstruction  in  3D  image-based  treatment  planning  of cervix  cancer  brachytherapy.-Radiotherapy and Oncology.-2010.-vol. 96, Iss.2-p. 153–160.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(GYN)</w:t>
      </w:r>
      <w:r w:rsidR="002B1D0B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GEC-ESTRO</w:t>
      </w:r>
      <w:r w:rsidR="002B1D0B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IV. 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Dimopouls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J.,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Petrow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Tanderup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K. et al., Recommendations from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Gynaecological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(GYN) GEC-ESTRO Working Group (IV): Basic</w:t>
      </w:r>
      <w:r w:rsidR="002B1D0B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principles  and  parameters  for  MR imaging within  the  frame  of  image  based  adaptive  cervix  cancer  brachytherapy.-Radiotherapy and Oncology.-2012.-vol. 103, Iss.1-p. 113–122.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ICRU Report 89, Prescribing, Recording, and 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Reporting 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Brachitherapy</w:t>
      </w:r>
      <w:proofErr w:type="spellEnd"/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for cancer of the cervix.-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опубл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 2016 (2013).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ICRU  83</w:t>
      </w:r>
      <w:r w:rsidR="002B1D0B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(2010)   Prescribing, recording, and reporting intensity-modulated photon-beam therapy (IMRT)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Radiotherapy&amp;Oncology.-2013.-Vol.107, Issue 1. –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неточности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гинекологии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Vincent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Gregoire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K. Ang, W.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Budach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C. Grau, M.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Hamoir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J.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Langendijk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 A. Lee, Q-Th. Le h, et al.,  Delineation of the neck node levels for head and neck tumors: A 2013 update. DAHANCA, EORTC, HKNPCSG, NCIC CTG, NCRI, RTOG, TROG consensus guidelines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Radiotherapy and Oncology 110 (2014) 172–181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COSTAR Target Volume Definition Guidelines  </w:t>
      </w:r>
      <w:hyperlink r:id="rId5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http://www.rttrialsqa.org.uk/Costar/COSTAR%20Outlining%20Guidelines.pdf</w:t>
        </w:r>
      </w:hyperlink>
      <w:r w:rsidRPr="002B1D0B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lang w:val="en-US"/>
        </w:rPr>
        <w:t xml:space="preserve"> 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Wang XS., Hu CS., Ying HM. Et al., Patterns of lymph node metastasis from nasopharyngeal carcinoma based on the 2013 updated consensus guidelines for neck node levels. –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Шанхай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Китай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 – Radiotherapy and oncology.-2015.-vol.115, iss.1.-p.41-45.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Zhang J., Pan L., Ren J., et al., Level IIb CTV delineation based on cervical fascia anatomy in nasopharyngeal</w:t>
      </w:r>
      <w:r w:rsidR="002B1D0B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cancer.- Radiotherapy and oncology.-2015.-vol.115, iss.1.-p.46-49.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it-IT"/>
        </w:rPr>
        <w:t>W. Rusch, H. Asamura, H. Watanabe, D. Giroux, R. Rami-Porta, P. Goldstraw.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The IASLC Lung Cancer Staging Project </w:t>
      </w:r>
      <w:r w:rsidR="00077406"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>A Proposal for a New International Lymph Node Map in the Forthcoming Seventh Edition of the TNM Classification for Lung</w:t>
      </w:r>
      <w:r w:rsidR="002B1D0B"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 xml:space="preserve">Cancer.- Journal of Thoracic Oncology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• Volume 4, Number 5, May 2009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Mountain C.,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Dresler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C., Regional Lymph Node Classification for Lung Cancer Staging//</w:t>
      </w:r>
      <w:r w:rsidR="00077406"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>Chest.-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1997.-vol.111.-p.1718-1723.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Kiricuta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I.,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Götz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U., Schwab F.,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Fehn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M., Neumann H. Target Volume Definition and Target Conformal Irradiation Technique for Breast Cancer Patients//Acta Oncologica.-2000.-Vol. 39, No. 3, p. 429–436.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R. Lynch, G,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Pitson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D. Ball, L. Claude, D.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Sarrut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Computed tomographic atlas for the new international lymph node map for lung cancer: A radiation oncologist perspective//Practical Radiation Oncology.-2013.-vol 3,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Iss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1.-p.54–66.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1E397D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Toita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T., Ohno T.,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Kaneyasu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Y., et al., A Consensus-based guideline defining the clinical target volume for pelvic lymph nodes in external beam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>radiotherapy for uterine cervical cancer//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Jpn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J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Clin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Oncol.-2010.-Vol.40,N5.-p.456–463.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Taylor, A.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Rockally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 M. Powell. An Atlas of the Pelvic Lymph Node Regions to Aid Radiotherapy Target Volume Definition//Clinical Oncology.-2007.-Vol.19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,N7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.-p.542-550.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Taylor, A. G.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Rockally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M. E. B. 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Powell  An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Atlas of the Pelvic Lymph Node Regions to Aid Radiotherapy Target Volume Definition.- Clinical Oncology.-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2007 Sep;19(7):542-50</w:t>
      </w: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Small W, Mell L., Anderson P. et al., Consensus guidelines for delineation of clinical target volume for intensity-modulated pelvic radiotherapy in postoperative treatment of endometrial and cervical cancer//Int. J. Radiation Oncology Biol. Phys..-2008.-Vol. 71, No. 2, pp. 428–434.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Myerson R. et al., Target volumes for anal carcinoma for RTOG 0529:  Washington University School of Medicine and Boston University Medical Center //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интернетресурс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 http://atc.wustl.edu/protocols/rtog-closed/0529/ANAL_Ca_CTVs_5-21-07_Final.pdf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it-IT"/>
        </w:rPr>
        <w:t xml:space="preserve">Valentini V., Gambacorta M., Barbaro B., et al.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International consensus guidelines on Clinical Target Volume delineation in rectal cancer//Radiotherapy and Oncology.-2016.-Vol.120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,Iss.2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.-195–201.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Durrant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L., Robinson M., A. Hawkins M. et al., Quantifying target-specific motion in anal cancer patients treated with intensity modulated radiotherapy (IMRT)// Radiotherapy and Oncology.-2016.-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печати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 DOI:</w:t>
      </w:r>
      <w:r w:rsidR="00077406" w:rsidRPr="002B1D0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hyperlink r:id="rId6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http://dx.doi.org/10.1016/j.radonc.2016.08.011</w:t>
        </w:r>
      </w:hyperlink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Offersen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B., Boersma L.,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Kirkove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Hol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S., Aznar M.,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Biete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S. et al. ESTRO consensus guideline on target volume delineation for elective radiation therapy of early stage breast cancer. Radiotherapy and Oncology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2015.-Vol.114.-p.3–10.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Offersen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B., Boersma L.,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Kirkove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 et al., ESTRO consensus guideline on target volume delineation for elective radiation therapy of early stage breast cancer, version 1.1 //Radiotherapy and Oncology.-2016.-Vol.118,iss.1.-p.205–208.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1E397D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Song Y., Wang Q., Jiang X., Liu S., Zhang Y., Bai S. Fully automatic volumetric modulated arc therapy plan generation for rectal cancer//Radiotherapy and oncology.-2016.-Vol.119, Iss.3.-p.531-536.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Akoum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R., </w:t>
      </w:r>
      <w:r w:rsidR="00077406"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>et al.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: Salvage abdominal irradiation for refractory NHL// J Cancer Res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Ther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- </w:t>
      </w:r>
      <w:r w:rsidR="00077406" w:rsidRPr="002B1D0B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val="en-US"/>
        </w:rPr>
        <w:t>September 2007 - Volume 3 - Issue 3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hyperlink r:id="rId7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Askin</w:t>
        </w:r>
        <w:proofErr w:type="spellEnd"/>
      </w:hyperlink>
      <w:hyperlink r:id="rId8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 xml:space="preserve"> F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9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Land V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10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Sullivan M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11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Ragab</w:t>
        </w:r>
        <w:proofErr w:type="spellEnd"/>
      </w:hyperlink>
      <w:hyperlink r:id="rId12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 xml:space="preserve"> A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13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Steuber</w:t>
        </w:r>
        <w:proofErr w:type="spellEnd"/>
      </w:hyperlink>
      <w:hyperlink r:id="rId14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 xml:space="preserve"> C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15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Dyment</w:t>
        </w:r>
        <w:proofErr w:type="spellEnd"/>
      </w:hyperlink>
      <w:hyperlink r:id="rId16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 xml:space="preserve"> P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17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Talbert J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18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Moore T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r w:rsidR="00077406"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Occult testicular leukemia: testicular biopsy at three years continuous complete remission of childhood leukemia: a Southwest Oncology Group Study//</w:t>
      </w:r>
      <w:hyperlink r:id="rId19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Cancer.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.-1981.-Vol.47, N3.-p.470-475.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Carbone P., Kaplan Y.,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Musshoff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K., Smithers D.,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Tubiana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M.</w:t>
      </w:r>
      <w:r w:rsidR="00077406"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Report of the Committee on Hodgkin's Disease Staging Classification//Cancer research.-1971.-Vol. 31.- P. 1860-1861.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Cheson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B., Fisher R., Barrington S., Cavalli F., Schwartz L.,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Zucca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E., Lister T. Recommendations for initial evaluation, staging, and response assessment of Hodgkin and non-Hodgkin lymphoma: the Lugano classification//J Clin Oncol.-2014.-vol.32,N27.-p.3059-3068.  DOI:  10.1200/JCO.2013.54.8800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Cheson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,,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Staging and response assessment in lymphomas: the new Lugano classification//Chin Clin Oncol. 2015.-vol.4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,N1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.-p.5.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doi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10.3978/j.issn.2304-3865.2014.11.03.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Cheah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C., Wirth A., Seymour J. Primary testicular lymphoma//Blood.-2014.- vol.123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,N4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.-p.486-493.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doi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: 10.1182/blood-2013-10-530659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Devita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V., Hellman S., Rosenberg S. (Eds.) Cancer: Principles and Practice of Oncology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10th ed.-Lippincott Williams &amp; Wilkins Publishers: Philadelphia, Baltomore.-2015.-p.1529.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Freedman A. Follicular lymphoma: 2014 update on diagnosis and management//American Journal of Hematology.-2014.-</w:t>
      </w:r>
      <w:hyperlink r:id="rId20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Vol. 89, </w:t>
        </w:r>
        <w:proofErr w:type="spellStart"/>
      </w:hyperlink>
      <w:hyperlink r:id="rId21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Iss</w:t>
        </w:r>
        <w:proofErr w:type="spellEnd"/>
      </w:hyperlink>
      <w:hyperlink r:id="rId22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. 4, 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p. 429–436.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Gaillard F.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Limphoma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staging// </w:t>
      </w:r>
      <w:hyperlink r:id="rId23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http://radiopaedia.org/articles/lymphoma-staging</w:t>
        </w:r>
      </w:hyperlink>
      <w:r w:rsidR="00077406" w:rsidRPr="002B1D0B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lang w:val="en-US"/>
        </w:rPr>
        <w:t>.</w:t>
      </w: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Halperin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E., Perez C., Brady L. (Eds.) Perez and Brady’s principles and practice of radiation oncology: Wolters Kluwer, Lippincott Williams &amp; Wilkins.-5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:lang w:val="en-US"/>
        </w:rPr>
        <w:t>th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ed.-Philadelphia.-2008.-p.1742.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Halperin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Wazer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D., Perez C., Brady L. (Eds.) Perez and Brady’s principles and practice of radiation oncology: Wolters Kluwer, Lippincott Williams &amp; Wilkins.-6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:lang w:val="en-US"/>
        </w:rPr>
        <w:t>th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ed.-Philadelphia.-2013.-1907 p.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Hoefnagel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J. et al. Primary cutaneous marginal zone B-cell lymphoma//Arch. Dermatol.-2005.-vol.141.-p.1139-1145.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Hoppe R. Mycosis fungoides: radiation therapy//Dermatol Ther.-2003.-Vol.16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,N4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.-p.347-354.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Jonathan J.,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Chesi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 Et al., Clonal competition with alternating dominance in multiple myeloma//Blood.-2012.-vol.120,№5.-p.1067-1076.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Jones G.,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Kacinski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B., Wilson L.,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Willemze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R., Spittle M., Hohenberg G.,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Handl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-Zeller L.,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Trautinger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F.,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Knobler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R. Total skin electron radiation in the management of mycosis fungoides: Consensus of the European Organization for Research and Treatment of Cancer (EORTC) Cutaneous Lymphoma Project Group//J. Am. Acad. Dermatol..-2002.-Vol.47, N3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p.364-70.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Kahl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 and Yang D., Follicular lymphoma: evolving therapeutic strategies//Blood.-2016.-VOL 127, N17.-P.2055-2063.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Kim Y.,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Willemze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Pimpinelli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N., et al. TNM  classification system  for  primary  cutaneous  lymphomas  other  than  mycosis 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fungoides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and 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Sezary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 syndrome:  a  proposal  of  the International  Society  for  Cutaneous  Lymphomas  (ISCL)  and  the  Cutaneous  Lymphoma  Task  Force  of  the  European Organization  of  Research  and  Treatment  of  Cancer  (EORTC)//Blood.-2007.-vol.110,N2.-p.479-484.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D0D0D" w:themeColor="text1" w:themeTint="F2"/>
          <w:spacing w:val="-7"/>
          <w:sz w:val="28"/>
          <w:szCs w:val="28"/>
          <w:lang w:val="en-US"/>
        </w:rPr>
      </w:pPr>
      <w:r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Knoops</w:t>
      </w:r>
      <w:proofErr w:type="spellEnd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L., Haas R.</w:t>
      </w:r>
      <w:r w:rsidR="00077406" w:rsidRPr="002B1D0B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,</w:t>
      </w:r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Kemp S.</w:t>
      </w:r>
      <w:r w:rsidR="00077406" w:rsidRPr="002B1D0B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,</w:t>
      </w:r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Majoor</w:t>
      </w:r>
      <w:proofErr w:type="spellEnd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D., </w:t>
      </w:r>
      <w:proofErr w:type="spellStart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Broeks</w:t>
      </w:r>
      <w:proofErr w:type="spellEnd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A., et al., </w:t>
      </w:r>
      <w:r w:rsidR="00077406" w:rsidRPr="002B1D0B">
        <w:rPr>
          <w:b w:val="0"/>
          <w:bCs w:val="0"/>
          <w:color w:val="0D0D0D" w:themeColor="text1" w:themeTint="F2"/>
          <w:spacing w:val="-7"/>
          <w:sz w:val="28"/>
          <w:szCs w:val="28"/>
          <w:lang w:val="en-US"/>
        </w:rPr>
        <w:t>In vivo p53 response and immune reaction underlie highly effective low-dose radiotherapy in follicular lymphoma//</w:t>
      </w:r>
      <w:r w:rsidR="00077406" w:rsidRPr="002B1D0B">
        <w:rPr>
          <w:rStyle w:val="highwire-cite-metadata-journal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Blood.-</w:t>
      </w:r>
      <w:r w:rsidR="00077406" w:rsidRPr="002B1D0B">
        <w:rPr>
          <w:rStyle w:val="highwire-cite-metadata-dat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2007.-Vol.</w:t>
      </w:r>
      <w:r w:rsidR="00077406" w:rsidRPr="002B1D0B">
        <w:rPr>
          <w:rStyle w:val="highwire-cite-metadata-volume-pages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110, N4.-p.1116-1122;  </w:t>
      </w:r>
      <w:r w:rsidR="00077406" w:rsidRPr="002B1D0B">
        <w:rPr>
          <w:rStyle w:val="highwire-cite-metadata-doi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doi:10.1182/blood-2007-01-067579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M34103-053  Tumor Assessments (CHESON)  Tip Sheet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Ottensmeier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 The classification of lymphomas and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leucemias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A.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Psyrri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et al., Primary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extranodal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lymphomas of stomach: clinical presentation, diagnostic pitfalls and management//Annals of Oncology.-2008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19: p.-1992–1999.    doi:10.1093/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annonc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/mdn525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ighwire-cite-metadata-volume-pages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Reiter </w:t>
      </w:r>
      <w:r w:rsidR="00077406" w:rsidRPr="002B1D0B">
        <w:rPr>
          <w:rStyle w:val="nlm-given-names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A.</w:t>
      </w:r>
      <w:r w:rsidR="00077406" w:rsidRPr="002B1D0B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Schrappe</w:t>
      </w:r>
      <w:proofErr w:type="spellEnd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077406" w:rsidRPr="002B1D0B">
        <w:rPr>
          <w:rStyle w:val="nlm-given-names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M.</w:t>
      </w:r>
      <w:r w:rsidR="00077406" w:rsidRPr="002B1D0B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,</w:t>
      </w:r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Ludwig W-D., </w:t>
      </w:r>
      <w:proofErr w:type="spellStart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Tiemann</w:t>
      </w:r>
      <w:proofErr w:type="spellEnd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M., </w:t>
      </w:r>
      <w:proofErr w:type="spellStart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Parwaresch</w:t>
      </w:r>
      <w:proofErr w:type="spellEnd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R., Zimmermann M., </w:t>
      </w:r>
      <w:proofErr w:type="spellStart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Schirg</w:t>
      </w:r>
      <w:proofErr w:type="spellEnd"/>
      <w:r w:rsidR="00077406" w:rsidRPr="002B1D0B">
        <w:rPr>
          <w:rStyle w:val="nlm-surnam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E.</w:t>
      </w:r>
      <w:r w:rsidR="00077406" w:rsidRPr="002B1D0B">
        <w:rPr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,</w:t>
      </w:r>
      <w:r w:rsidR="00077406" w:rsidRPr="002B1D0B">
        <w:rPr>
          <w:rStyle w:val="nlm-given-names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et al., </w:t>
      </w:r>
      <w:r w:rsidR="00077406" w:rsidRPr="002B1D0B">
        <w:rPr>
          <w:b w:val="0"/>
          <w:bCs w:val="0"/>
          <w:color w:val="0D0D0D" w:themeColor="text1" w:themeTint="F2"/>
          <w:spacing w:val="-7"/>
          <w:sz w:val="28"/>
          <w:szCs w:val="28"/>
          <w:lang w:val="en-US"/>
        </w:rPr>
        <w:t>Intensive ALL-type therapy without local radiotherapy provides a 90% event-free survival for children with T-cell lymphoblastic lymphoma: a BFM Group report//</w:t>
      </w:r>
      <w:r w:rsidR="00077406" w:rsidRPr="002B1D0B">
        <w:rPr>
          <w:rStyle w:val="highwire-cite-metadata-journal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Blood.-</w:t>
      </w:r>
      <w:r w:rsidR="00077406" w:rsidRPr="002B1D0B">
        <w:rPr>
          <w:rStyle w:val="highwire-cite-metadata-dat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2000</w:t>
      </w:r>
      <w:r w:rsidR="00077406" w:rsidRPr="002B1D0B">
        <w:rPr>
          <w:rStyle w:val="apple-converted-space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 .-Vol. 9</w:t>
      </w:r>
      <w:r w:rsidR="00077406" w:rsidRPr="002B1D0B">
        <w:rPr>
          <w:rStyle w:val="highwire-cite-metadata-volume-pages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5, N2.-p.416-421.</w:t>
      </w:r>
    </w:p>
    <w:p w:rsidR="00077406" w:rsidRPr="002B1D0B" w:rsidRDefault="00077406" w:rsidP="002B1D0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highwire-cite-metadata-volume-pages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077406" w:rsidRPr="002B1D0B" w:rsidRDefault="002B1D0B" w:rsidP="002B1D0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Specht L., 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Dabaja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B., 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Illidge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T., Wilson L., Hoppe R. Modern radiation therapy for primary cutaneous lymphomas: field and dose guidelines from the International Lymphoma Radiation Oncology Group//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Int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J 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Radiat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Oncol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Biol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Phys.-2015.-vol.92, N1.-p.32-39. 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doi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  <w:t>: 10.1016/j.ijrobp.2015.01.008.</w:t>
      </w:r>
    </w:p>
    <w:p w:rsidR="00077406" w:rsidRPr="002B1D0B" w:rsidRDefault="00077406" w:rsidP="002B1D0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highwire-cite-metadata-volume-pages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077406" w:rsidRPr="002B1D0B" w:rsidRDefault="002B1D0B" w:rsidP="002B1D0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D0D0D" w:themeColor="text1" w:themeTint="F2"/>
          <w:sz w:val="28"/>
          <w:szCs w:val="28"/>
          <w:lang w:val="en-US"/>
        </w:rPr>
      </w:pPr>
      <w:r w:rsidRPr="002B1D0B">
        <w:rPr>
          <w:b w:val="0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b w:val="0"/>
          <w:color w:val="0D0D0D" w:themeColor="text1" w:themeTint="F2"/>
          <w:sz w:val="28"/>
          <w:szCs w:val="28"/>
          <w:lang w:val="en-US"/>
        </w:rPr>
        <w:t xml:space="preserve">Sutton L-A. </w:t>
      </w:r>
      <w:proofErr w:type="gramStart"/>
      <w:r w:rsidR="00077406" w:rsidRPr="002B1D0B">
        <w:rPr>
          <w:b w:val="0"/>
          <w:color w:val="0D0D0D" w:themeColor="text1" w:themeTint="F2"/>
          <w:sz w:val="28"/>
          <w:szCs w:val="28"/>
          <w:lang w:val="en-US"/>
        </w:rPr>
        <w:t>and</w:t>
      </w:r>
      <w:proofErr w:type="gramEnd"/>
      <w:r w:rsidR="00077406" w:rsidRPr="002B1D0B">
        <w:rPr>
          <w:b w:val="0"/>
          <w:color w:val="0D0D0D" w:themeColor="text1" w:themeTint="F2"/>
          <w:sz w:val="28"/>
          <w:szCs w:val="28"/>
          <w:lang w:val="en-US"/>
        </w:rPr>
        <w:t xml:space="preserve"> Rosenquist R. Deciphering the molecular landscape in chronic lymphocytic leukemia: time frame of disease evolution//Haematologica.-2015.-vol.100,N1.-p.7-15.</w:t>
      </w:r>
    </w:p>
    <w:p w:rsidR="001E397D" w:rsidRPr="002B1D0B" w:rsidRDefault="001E397D" w:rsidP="002B1D0B">
      <w:pPr>
        <w:pStyle w:val="1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D0D0D" w:themeColor="text1" w:themeTint="F2"/>
          <w:sz w:val="28"/>
          <w:szCs w:val="28"/>
          <w:lang w:val="en-US"/>
        </w:rPr>
      </w:pPr>
      <w:r w:rsidRPr="002B1D0B">
        <w:rPr>
          <w:b w:val="0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lang w:val="de-DE"/>
        </w:rPr>
        <w:t>Trautinger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lang w:val="de-DE"/>
        </w:rPr>
        <w:t xml:space="preserve"> </w:t>
      </w:r>
      <w:r w:rsidR="00077406" w:rsidRPr="002B1D0B">
        <w:rPr>
          <w:b w:val="0"/>
          <w:color w:val="0D0D0D" w:themeColor="text1" w:themeTint="F2"/>
          <w:sz w:val="28"/>
          <w:szCs w:val="28"/>
          <w:lang w:val="en-US"/>
        </w:rPr>
        <w:t>F.</w:t>
      </w:r>
      <w:r w:rsidR="00077406" w:rsidRPr="002B1D0B">
        <w:rPr>
          <w:b w:val="0"/>
          <w:color w:val="0D0D0D" w:themeColor="text1" w:themeTint="F2"/>
          <w:sz w:val="28"/>
          <w:szCs w:val="28"/>
          <w:lang w:val="de-DE"/>
        </w:rPr>
        <w:t xml:space="preserve">, Knobler R., 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lang w:val="de-DE"/>
        </w:rPr>
        <w:t>Willemze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lang w:val="de-DE"/>
        </w:rPr>
        <w:t xml:space="preserve"> R. et al., </w:t>
      </w:r>
      <w:r w:rsidR="00077406" w:rsidRPr="002B1D0B">
        <w:rPr>
          <w:b w:val="0"/>
          <w:color w:val="0D0D0D" w:themeColor="text1" w:themeTint="F2"/>
          <w:sz w:val="28"/>
          <w:szCs w:val="28"/>
          <w:lang w:val="en-US"/>
        </w:rPr>
        <w:t xml:space="preserve">EORTC consensus recommendations for the treatment of mycosis 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lang w:val="en-US"/>
        </w:rPr>
        <w:t>fungoides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lang w:val="en-US"/>
        </w:rPr>
        <w:t>/</w:t>
      </w:r>
      <w:proofErr w:type="spellStart"/>
      <w:r w:rsidR="00077406" w:rsidRPr="002B1D0B">
        <w:rPr>
          <w:b w:val="0"/>
          <w:color w:val="0D0D0D" w:themeColor="text1" w:themeTint="F2"/>
          <w:sz w:val="28"/>
          <w:szCs w:val="28"/>
          <w:lang w:val="en-US"/>
        </w:rPr>
        <w:t>Se´zary</w:t>
      </w:r>
      <w:proofErr w:type="spellEnd"/>
      <w:r w:rsidR="00077406" w:rsidRPr="002B1D0B">
        <w:rPr>
          <w:b w:val="0"/>
          <w:color w:val="0D0D0D" w:themeColor="text1" w:themeTint="F2"/>
          <w:sz w:val="28"/>
          <w:szCs w:val="28"/>
          <w:lang w:val="en-US"/>
        </w:rPr>
        <w:t xml:space="preserve"> syndrome//European Journal of Cancer.-2006.- vol.42.-p.-1020.</w:t>
      </w:r>
    </w:p>
    <w:p w:rsidR="00077406" w:rsidRPr="002B1D0B" w:rsidRDefault="00077406" w:rsidP="002B1D0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Verdonck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L.F.,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Wim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L.G., van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Putten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W.L.,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Hagenbeek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A. et al. Comparison of CHOP chemotherapy with autologous bone marrow transplantation for slowly responding patients with aggressive non-Hodgkin’s lymphoma // New Engl. J. Med.–1995.–Vol.332.– P.1045-1051.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Fisher R.,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Mauch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P., Harris N., Friedberg J. Non-Hodgkin's Lymphomas.-In: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DeVita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V., Hellman S., Rosenberg S. (Eds.).- Principles and practice of oncology.-7-th ed.-2005.-p.1968.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Hoefnagel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J. et al. Primary cutaneous marginal zone B-cell lymphoma//Arch. Dermatol.-2005.-vol.141.-p.1139-1145.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Magrath I. (Ed.) The lymphoid neoplasms.-3d ed.-Hodder Arnold: NY.-2010.-1689 p.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D34EF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NCCN  guidelines 2018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Kim Y.,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Willemze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Pimpinell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N. et al. TNM classification system for primary cutaneous lymphomas other than mycosis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fungoides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and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Sezary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syndrome: a proposal of…//Blood.-2007.-vol.110.-p.479-484.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Walsh R. and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Heniford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B.//Seminars in Surgical Oncology.-1999.-vol.16.-p.284–292.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Wilson L., Jones G., et al., Cutaneous T-cell lymphomas.-In: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DeVita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V., Hellman S., Rosenberg S. (Eds.)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Principles and practice of oncology.-7-th ed.-2005.-p.1998.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hyperlink r:id="rId24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Wong K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25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Ballard E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26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Strayer</w:t>
        </w:r>
        <w:proofErr w:type="spellEnd"/>
      </w:hyperlink>
      <w:hyperlink r:id="rId27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 xml:space="preserve"> F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28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Kisker</w:t>
        </w:r>
        <w:proofErr w:type="spellEnd"/>
      </w:hyperlink>
      <w:hyperlink r:id="rId29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 xml:space="preserve"> C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., </w:t>
      </w:r>
      <w:hyperlink r:id="rId30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Lampkin</w:t>
        </w:r>
      </w:hyperlink>
      <w:hyperlink r:id="rId31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 xml:space="preserve"> B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r w:rsidR="00077406"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Clinical and occult testicular leukemia in long-term survivors of acute lymphoblastic leukemia//</w:t>
      </w:r>
      <w:hyperlink r:id="rId32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pt-BR"/>
          </w:rPr>
          <w:t>J Pediatr.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-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pt-BR"/>
        </w:rPr>
        <w:t>1980.-Vol.96, N3 Pt 2.-p.569-574.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Zinzani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P. The many faces of marginal zone lymphoma//ASH Education Book.-2012.-vol. 2012, N.1.-p.426-432. doi:10.1182/asheducation-2012.1.426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AJCC cancer staging manual.-8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:lang w:val="en-US"/>
        </w:rPr>
        <w:t>th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ed.-American joint committee on cancer: Springer.-2017.-p.589-628.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hyperlink r:id="rId33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Cucciarelli</w:t>
        </w:r>
        <w:proofErr w:type="spellEnd"/>
      </w:hyperlink>
      <w:r w:rsidR="00077406" w:rsidRPr="002B1D0B">
        <w:rPr>
          <w:rStyle w:val="contribdegrees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F., </w:t>
      </w:r>
      <w:hyperlink r:id="rId34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Kirova</w:t>
        </w:r>
        <w:proofErr w:type="spellEnd"/>
      </w:hyperlink>
      <w:r w:rsidR="00077406" w:rsidRPr="002B1D0B">
        <w:rPr>
          <w:rStyle w:val="contribdegrees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Y., </w:t>
      </w:r>
      <w:hyperlink r:id="rId35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 xml:space="preserve"> Palumbo</w:t>
        </w:r>
      </w:hyperlink>
      <w:r w:rsidR="00077406" w:rsidRPr="002B1D0B">
        <w:rPr>
          <w:rStyle w:val="contribdegrees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I.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</w:t>
      </w:r>
      <w:hyperlink r:id="rId36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Aristei</w:t>
        </w:r>
        <w:proofErr w:type="spellEnd"/>
      </w:hyperlink>
      <w:r w:rsidR="00077406" w:rsidRPr="002B1D0B">
        <w:rPr>
          <w:rStyle w:val="contribdegrees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Supraclavicular and Infraclavicular Lymph Node Delineation in Breast Cancer Patients: A Proposal Deriving from a Comparative Study//Tumori.-2015.-vol.101,№5.-p.478-486.</w:t>
      </w:r>
    </w:p>
    <w:p w:rsidR="001E397D" w:rsidRPr="002B1D0B" w:rsidRDefault="001E397D" w:rsidP="002B1D0B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Deseyne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P., Speleers B., De Neve W., Bert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Boute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Paelinck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L., Tom Van Hoof T., Van de Velde J., Van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Greveling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Monten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C., Post G.,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Depypere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H.,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Veldeman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L. Whole breast and regional nodal irradiation in prone versus supine position in left sided breast cancer//Radiation Oncology.-2017.-vol.12,N1.-p.89-101.  DOI 10.1186/s13014-017-0828-6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Feuvret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L., </w:t>
      </w:r>
      <w:hyperlink r:id="rId37" w:tgtFrame="_blank" w:history="1"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Noël G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, </w:t>
      </w:r>
      <w:hyperlink r:id="rId38" w:tgtFrame="_blank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Mazeron</w:t>
        </w:r>
        <w:proofErr w:type="spellEnd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 xml:space="preserve"> J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, </w:t>
      </w:r>
      <w:hyperlink r:id="rId39" w:tgtFrame="_blank" w:history="1">
        <w:proofErr w:type="spellStart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Bey</w:t>
        </w:r>
        <w:proofErr w:type="spellEnd"/>
        <w:r w:rsidR="00077406" w:rsidRPr="002B1D0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 xml:space="preserve"> P</w:t>
        </w:r>
      </w:hyperlink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.</w:t>
      </w:r>
      <w:r w:rsidR="00077406"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Conformity index: A Review//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Int. J. Radiation Oncology Biol. Phys.-2006.-Vol.64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,N2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.-p.333–342.</w:t>
      </w:r>
    </w:p>
    <w:p w:rsidR="00077406" w:rsidRPr="002B1D0B" w:rsidRDefault="00077406" w:rsidP="002B1D0B">
      <w:pPr>
        <w:pStyle w:val="Defaul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>Helal</w:t>
      </w:r>
      <w:proofErr w:type="spellEnd"/>
      <w:r w:rsidR="00077406"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 xml:space="preserve"> A., Omar A. </w:t>
      </w:r>
      <w:r w:rsidR="00077406"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Homogeneity Index: Effective tool for evaluation of 3DCRT//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Pan Arab Journal of Oncology.-2015.-Vol.8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,No.2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.-p.20-23.</w:t>
      </w:r>
    </w:p>
    <w:p w:rsidR="00077406" w:rsidRPr="002B1D0B" w:rsidRDefault="00077406" w:rsidP="002B1D0B">
      <w:pPr>
        <w:pStyle w:val="Defaul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Kataria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T., Sharma K., Subramani V.,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Karrthick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K., Bisht S. Homogeneity Index: An objective tool for assessment of conformal radiation treatments//J Med Phys.-2012.-vol.37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,N4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.-p.207–213.</w:t>
      </w:r>
    </w:p>
    <w:p w:rsidR="00077406" w:rsidRPr="002B1D0B" w:rsidRDefault="00077406" w:rsidP="002B1D0B">
      <w:pPr>
        <w:pStyle w:val="Defaul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Khan F. Introduction: process, equipment, and personnel.-In: Khan F. (Ed.) Treatment planning in radiation oncology.-2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:lang w:val="en-US"/>
        </w:rPr>
        <w:t>nd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ed.-Lippincott Williams &amp; Wilkins: Philadelphia.-2007.-p.1.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Khan F., Gibbons G. Khan’s the physics of radiation therapy.-5th ed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</w:t>
      </w:r>
      <w:proofErr w:type="gramEnd"/>
      <w:r w:rsidR="00077406"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 xml:space="preserve"> Philadelphia: Lippincott Williams &amp; Wilkins.-2014.-572 </w:t>
      </w:r>
      <w:r w:rsidR="00077406"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</w:t>
      </w:r>
      <w:r w:rsidR="00077406" w:rsidRPr="002B1D0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Lengele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 The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lymphanic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system.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Fnftomical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bases for radiological delineation of lymph node areas.-In: Gregoire V.,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Scalliet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P., Ang K. (Eds.) Clinical target volumes in conformal and intensity modulated radiation therapy.-Springer, Berlin.-2004.-p.12.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Kiricuta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I. Target volume selection and delineation in breast cancer conformal radiotherapy.-In: Gregoire V.,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Scalliet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P., Ang K. (Eds.) Clinical target volumes in conformal and intensity modulated radiation therapy.-Springer, Berlin.-2004.-p.131.</w:t>
      </w:r>
    </w:p>
    <w:p w:rsidR="001E397D" w:rsidRPr="002B1D0B" w:rsidRDefault="001E397D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Kiricuta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I.,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Götz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U., Schwab F.,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Fehn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M., Neumann H. Target Volume Definition and Target Conformal Irradiation Technique for Breast Cancer Patients//Acta Oncologica.-2000.-Vol. 39, No. 3, p. 429–436.</w:t>
      </w:r>
    </w:p>
    <w:p w:rsidR="00FF0797" w:rsidRPr="002B1D0B" w:rsidRDefault="00FF0797" w:rsidP="002B1D0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Default="002B1D0B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Offersen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B., Boersma L.,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Kirkove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C. et al., ESTRO consensus guideline on target volume delineation for elective radiation therapy of early stage breast cancer, version 1.1 //Radiotherapy and Oncology.-2016.-Vol.118,iss.1.-p.205–208.</w:t>
      </w:r>
    </w:p>
    <w:p w:rsidR="00D34EF1" w:rsidRPr="002B1D0B" w:rsidRDefault="00D34EF1" w:rsidP="00D34EF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Offersen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B., Boersma L.,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Kirkove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.,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Hol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S., et al., ESTRO consensus guideline on target volume delineation for elective radiation therapy of early stage breast cancer//Radiotherapy and Oncology.-2015.-Vol.114,iss.1.-p.3-10.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Paddick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I. A simple scoring ratio to index the conformity of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radiosurgical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treatment plans. Technical note//</w:t>
      </w:r>
      <w:r w:rsidR="00077406" w:rsidRPr="002B1D0B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val="en-US"/>
        </w:rPr>
        <w:t>J Neurosurg.-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2000.-vol.93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,suppl.3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.-p.219 –222.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en-US" w:eastAsia="ru-RU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hyperlink r:id="rId40" w:tgtFrame="_blank" w:history="1">
        <w:proofErr w:type="spellStart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Verhoeven</w:t>
        </w:r>
        <w:proofErr w:type="spellEnd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 xml:space="preserve"> K</w:t>
        </w:r>
      </w:hyperlink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.,</w:t>
      </w:r>
      <w:proofErr w:type="spellStart"/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begin"/>
      </w:r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instrText xml:space="preserve"> HYPERLINK "http://www.ncbi.nlm.nih.gov/pubmed/25466373" \t "_blank" </w:instrText>
      </w:r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separate"/>
      </w:r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Weltens</w:t>
      </w:r>
      <w:proofErr w:type="spellEnd"/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C</w:t>
      </w:r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ldChar w:fldCharType="end"/>
      </w:r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., </w:t>
      </w:r>
      <w:hyperlink r:id="rId41" w:tgtFrame="_blank" w:history="1">
        <w:proofErr w:type="spellStart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Remouchamps</w:t>
        </w:r>
        <w:proofErr w:type="spellEnd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 xml:space="preserve"> V</w:t>
        </w:r>
      </w:hyperlink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., </w:t>
      </w:r>
      <w:hyperlink r:id="rId42" w:tgtFrame="_blank" w:history="1">
        <w:proofErr w:type="spellStart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Mahjoubi</w:t>
        </w:r>
        <w:proofErr w:type="spellEnd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 xml:space="preserve"> K</w:t>
        </w:r>
      </w:hyperlink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., </w:t>
      </w:r>
      <w:hyperlink r:id="rId43" w:tgtFrame="_blank" w:history="1">
        <w:proofErr w:type="spellStart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Veldeman</w:t>
        </w:r>
        <w:proofErr w:type="spellEnd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 xml:space="preserve"> L</w:t>
        </w:r>
      </w:hyperlink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., </w:t>
      </w:r>
      <w:hyperlink r:id="rId44" w:tgtFrame="_blank" w:history="1">
        <w:proofErr w:type="spellStart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Lengele</w:t>
        </w:r>
        <w:proofErr w:type="spellEnd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 xml:space="preserve"> B</w:t>
        </w:r>
      </w:hyperlink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., </w:t>
      </w:r>
      <w:hyperlink r:id="rId45" w:tgtFrame="_blank" w:history="1">
        <w:proofErr w:type="spellStart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Hortobagyi</w:t>
        </w:r>
        <w:proofErr w:type="spellEnd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 xml:space="preserve"> E</w:t>
        </w:r>
      </w:hyperlink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., </w:t>
      </w:r>
      <w:hyperlink r:id="rId46" w:tgtFrame="_blank" w:history="1">
        <w:proofErr w:type="spellStart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>Kirkove</w:t>
        </w:r>
        <w:proofErr w:type="spellEnd"/>
        <w:r w:rsidR="00077406" w:rsidRPr="002B1D0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en-US" w:eastAsia="ru-RU"/>
          </w:rPr>
          <w:t xml:space="preserve"> C</w:t>
        </w:r>
      </w:hyperlink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. </w:t>
      </w:r>
      <w:r w:rsidR="00077406" w:rsidRPr="002B1D0B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val="en-US" w:eastAsia="ru-RU"/>
        </w:rPr>
        <w:t>Vessel based delineation guidelines for the elective lymph node regions in breast cancer radiation therapy - PROCAB guidelines//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Radiotherapy and Oncology.-</w:t>
      </w:r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2015.-vol.114</w:t>
      </w:r>
      <w:proofErr w:type="gramStart"/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,iss.1</w:t>
      </w:r>
      <w:proofErr w:type="gramEnd"/>
      <w:r w:rsidR="00077406" w:rsidRPr="002B1D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.-p.11-16.</w:t>
      </w:r>
    </w:p>
    <w:p w:rsidR="00077406" w:rsidRPr="002B1D0B" w:rsidRDefault="00077406" w:rsidP="002B1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077406" w:rsidRPr="002B1D0B" w:rsidRDefault="002B1D0B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Wu Q., Mohan R., Morris M.,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Lavue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A., Schmidt-Ullrich R. Simultaneous integrated boost intensity-modulated radiotherapy for locally advanced head-and-neck squamous cell carcinomas: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Dosimetric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results//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Int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J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Radiat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Oncol Biol Phys.-2003.-vol.56,N.2-p.573–585.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560614" w:rsidRPr="002B1D0B" w:rsidRDefault="002B1D0B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Yoon M., Park S., Shin D., Lee S.,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Pyo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H., Kim D., Cho K. A new homogeneity index based on statistical analysis of the </w:t>
      </w:r>
      <w:proofErr w:type="spell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dosevolume</w:t>
      </w:r>
      <w:proofErr w:type="spell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histogram//Journal of Applied Clinical Medical Physics.-2007.-Vol 8</w:t>
      </w:r>
      <w:proofErr w:type="gramStart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,No</w:t>
      </w:r>
      <w:proofErr w:type="gramEnd"/>
      <w:r w:rsidR="00077406" w:rsidRPr="002B1D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2.-p.9-17.</w:t>
      </w:r>
    </w:p>
    <w:p w:rsidR="00560614" w:rsidRPr="002B1D0B" w:rsidRDefault="00560614" w:rsidP="002B1D0B">
      <w:pPr>
        <w:autoSpaceDE w:val="0"/>
        <w:autoSpaceDN w:val="0"/>
        <w:adjustRightInd w:val="0"/>
        <w:spacing w:after="0" w:line="240" w:lineRule="auto"/>
        <w:jc w:val="both"/>
        <w:rPr>
          <w:rStyle w:val="sims-lpo-header-titl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560614" w:rsidRPr="002B1D0B" w:rsidRDefault="002B1D0B" w:rsidP="002B1D0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D34EF1">
        <w:rPr>
          <w:rStyle w:val="sims-lpo-header-titl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560614" w:rsidRPr="002B1D0B">
        <w:rPr>
          <w:rStyle w:val="sims-lpo-header-title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Perez &amp; Brady's Principles and Practice of Radiation Oncology </w:t>
      </w:r>
    </w:p>
    <w:p w:rsidR="00077406" w:rsidRPr="002B1D0B" w:rsidRDefault="00077406" w:rsidP="002B1D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sectPr w:rsidR="00077406" w:rsidRPr="002B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54D"/>
    <w:multiLevelType w:val="hybridMultilevel"/>
    <w:tmpl w:val="4A8A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D051F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F6DBB"/>
    <w:multiLevelType w:val="hybridMultilevel"/>
    <w:tmpl w:val="5C604C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6"/>
    <w:rsid w:val="00077406"/>
    <w:rsid w:val="001E397D"/>
    <w:rsid w:val="002B1D0B"/>
    <w:rsid w:val="004967D9"/>
    <w:rsid w:val="00560614"/>
    <w:rsid w:val="00602EE1"/>
    <w:rsid w:val="00D34EF1"/>
    <w:rsid w:val="00DB74A2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BB45"/>
  <w15:chartTrackingRefBased/>
  <w15:docId w15:val="{173FDB3B-004B-4524-908F-3DAAB95F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0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77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406"/>
    <w:rPr>
      <w:color w:val="0563C1" w:themeColor="hyperlink"/>
      <w:u w:val="single"/>
    </w:rPr>
  </w:style>
  <w:style w:type="character" w:customStyle="1" w:styleId="apple-converted-space">
    <w:name w:val="apple-converted-space"/>
    <w:rsid w:val="00077406"/>
  </w:style>
  <w:style w:type="character" w:customStyle="1" w:styleId="10">
    <w:name w:val="Заголовок 1 Знак"/>
    <w:basedOn w:val="a0"/>
    <w:link w:val="1"/>
    <w:uiPriority w:val="9"/>
    <w:rsid w:val="00077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lm-given-names">
    <w:name w:val="nlm-given-names"/>
    <w:basedOn w:val="a0"/>
    <w:rsid w:val="00077406"/>
  </w:style>
  <w:style w:type="character" w:customStyle="1" w:styleId="nlm-surname">
    <w:name w:val="nlm-surname"/>
    <w:basedOn w:val="a0"/>
    <w:rsid w:val="00077406"/>
  </w:style>
  <w:style w:type="character" w:customStyle="1" w:styleId="highwire-cite-metadata-journal">
    <w:name w:val="highwire-cite-metadata-journal"/>
    <w:basedOn w:val="a0"/>
    <w:rsid w:val="00077406"/>
  </w:style>
  <w:style w:type="character" w:customStyle="1" w:styleId="highwire-cite-metadata-date">
    <w:name w:val="highwire-cite-metadata-date"/>
    <w:basedOn w:val="a0"/>
    <w:rsid w:val="00077406"/>
  </w:style>
  <w:style w:type="character" w:customStyle="1" w:styleId="highwire-cite-metadata-volume-pages">
    <w:name w:val="highwire-cite-metadata-volume-pages"/>
    <w:basedOn w:val="a0"/>
    <w:rsid w:val="00077406"/>
  </w:style>
  <w:style w:type="character" w:customStyle="1" w:styleId="highwire-cite-metadata-doi">
    <w:name w:val="highwire-cite-metadata-doi"/>
    <w:basedOn w:val="a0"/>
    <w:rsid w:val="00077406"/>
  </w:style>
  <w:style w:type="character" w:customStyle="1" w:styleId="contribdegrees">
    <w:name w:val="contribdegrees"/>
    <w:basedOn w:val="a0"/>
    <w:rsid w:val="00077406"/>
  </w:style>
  <w:style w:type="paragraph" w:customStyle="1" w:styleId="Default">
    <w:name w:val="Default"/>
    <w:rsid w:val="000774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ims-lpo-header-title">
    <w:name w:val="sims-lpo-header-title"/>
    <w:basedOn w:val="a0"/>
    <w:rsid w:val="00560614"/>
  </w:style>
  <w:style w:type="paragraph" w:styleId="a4">
    <w:name w:val="List Paragraph"/>
    <w:basedOn w:val="a"/>
    <w:uiPriority w:val="34"/>
    <w:qFormat/>
    <w:rsid w:val="00FF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Steuber%20CP%5BAuthor%5D&amp;cauthor=true&amp;cauthor_uid=6939470" TargetMode="External"/><Relationship Id="rId18" Type="http://schemas.openxmlformats.org/officeDocument/2006/relationships/hyperlink" Target="http://www.ncbi.nlm.nih.gov/pubmed/?term=Moore%20T%5BAuthor%5D&amp;cauthor=true&amp;cauthor_uid=6939470" TargetMode="External"/><Relationship Id="rId26" Type="http://schemas.openxmlformats.org/officeDocument/2006/relationships/hyperlink" Target="http://www.ncbi.nlm.nih.gov/pubmed/?term=Strayer%20FH%5BAuthor%5D&amp;cauthor=true&amp;cauthor_uid=6928464" TargetMode="External"/><Relationship Id="rId39" Type="http://schemas.openxmlformats.org/officeDocument/2006/relationships/hyperlink" Target="http://www.ncbi.nlm.nih.gov/pubmed/16414369" TargetMode="External"/><Relationship Id="rId21" Type="http://schemas.openxmlformats.org/officeDocument/2006/relationships/hyperlink" Target="http://onlinelibrary.wiley.com/doi/10.1002/ajh.v89.4/issuetoc" TargetMode="External"/><Relationship Id="rId34" Type="http://schemas.openxmlformats.org/officeDocument/2006/relationships/hyperlink" Target="http://journals.sagepub.com/author/Kirova%2C+Youlia+M" TargetMode="External"/><Relationship Id="rId42" Type="http://schemas.openxmlformats.org/officeDocument/2006/relationships/hyperlink" Target="http://www.ncbi.nlm.nih.gov/pubmed/25466373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ncbi.nlm.nih.gov/pubmed/?term=Askin%20FB%5BAuthor%5D&amp;cauthor=true&amp;cauthor_uid=69394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Dyment%20PG%5BAuthor%5D&amp;cauthor=true&amp;cauthor_uid=6939470" TargetMode="External"/><Relationship Id="rId29" Type="http://schemas.openxmlformats.org/officeDocument/2006/relationships/hyperlink" Target="http://www.ncbi.nlm.nih.gov/pubmed/?term=Kisker%20CT%5BAuthor%5D&amp;cauthor=true&amp;cauthor_uid=69284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radonc.2016.08.011" TargetMode="External"/><Relationship Id="rId11" Type="http://schemas.openxmlformats.org/officeDocument/2006/relationships/hyperlink" Target="http://www.ncbi.nlm.nih.gov/pubmed/?term=Ragab%20AH%5BAuthor%5D&amp;cauthor=true&amp;cauthor_uid=6939470" TargetMode="External"/><Relationship Id="rId24" Type="http://schemas.openxmlformats.org/officeDocument/2006/relationships/hyperlink" Target="http://www.ncbi.nlm.nih.gov/pubmed/?term=Wong%20KY%5BAuthor%5D&amp;cauthor=true&amp;cauthor_uid=6928464" TargetMode="External"/><Relationship Id="rId32" Type="http://schemas.openxmlformats.org/officeDocument/2006/relationships/hyperlink" Target="http://www.ncbi.nlm.nih.gov/pubmed/6928464" TargetMode="External"/><Relationship Id="rId37" Type="http://schemas.openxmlformats.org/officeDocument/2006/relationships/hyperlink" Target="http://www.ncbi.nlm.nih.gov/pubmed/16414369" TargetMode="External"/><Relationship Id="rId40" Type="http://schemas.openxmlformats.org/officeDocument/2006/relationships/hyperlink" Target="http://www.ncbi.nlm.nih.gov/pubmed/25466373" TargetMode="External"/><Relationship Id="rId45" Type="http://schemas.openxmlformats.org/officeDocument/2006/relationships/hyperlink" Target="http://www.ncbi.nlm.nih.gov/pubmed/25466373" TargetMode="External"/><Relationship Id="rId5" Type="http://schemas.openxmlformats.org/officeDocument/2006/relationships/hyperlink" Target="http://www.rttrialsqa.org.uk/Costar/COSTAR%20Outlining%20Guidelines.pdf" TargetMode="External"/><Relationship Id="rId15" Type="http://schemas.openxmlformats.org/officeDocument/2006/relationships/hyperlink" Target="http://www.ncbi.nlm.nih.gov/pubmed/?term=Dyment%20PG%5BAuthor%5D&amp;cauthor=true&amp;cauthor_uid=6939470" TargetMode="External"/><Relationship Id="rId23" Type="http://schemas.openxmlformats.org/officeDocument/2006/relationships/hyperlink" Target="http://radiopaedia.org/articles/lymphoma-staging" TargetMode="External"/><Relationship Id="rId28" Type="http://schemas.openxmlformats.org/officeDocument/2006/relationships/hyperlink" Target="http://www.ncbi.nlm.nih.gov/pubmed/?term=Kisker%20CT%5BAuthor%5D&amp;cauthor=true&amp;cauthor_uid=6928464" TargetMode="External"/><Relationship Id="rId36" Type="http://schemas.openxmlformats.org/officeDocument/2006/relationships/hyperlink" Target="http://journals.sagepub.com/author/Aristei%2C+Cynthia" TargetMode="External"/><Relationship Id="rId10" Type="http://schemas.openxmlformats.org/officeDocument/2006/relationships/hyperlink" Target="http://www.ncbi.nlm.nih.gov/pubmed/?term=Sullivan%20MP%5BAuthor%5D&amp;cauthor=true&amp;cauthor_uid=6939470" TargetMode="External"/><Relationship Id="rId19" Type="http://schemas.openxmlformats.org/officeDocument/2006/relationships/hyperlink" Target="http://www.ncbi.nlm.nih.gov/pubmed/6939470" TargetMode="External"/><Relationship Id="rId31" Type="http://schemas.openxmlformats.org/officeDocument/2006/relationships/hyperlink" Target="http://www.ncbi.nlm.nih.gov/pubmed/?term=Lampkin%20BC%5BAuthor%5D&amp;cauthor=true&amp;cauthor_uid=6928464" TargetMode="External"/><Relationship Id="rId44" Type="http://schemas.openxmlformats.org/officeDocument/2006/relationships/hyperlink" Target="http://www.ncbi.nlm.nih.gov/pubmed/25466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Land%20VJ%5BAuthor%5D&amp;cauthor=true&amp;cauthor_uid=6939470" TargetMode="External"/><Relationship Id="rId14" Type="http://schemas.openxmlformats.org/officeDocument/2006/relationships/hyperlink" Target="http://www.ncbi.nlm.nih.gov/pubmed/?term=Steuber%20CP%5BAuthor%5D&amp;cauthor=true&amp;cauthor_uid=6939470" TargetMode="External"/><Relationship Id="rId22" Type="http://schemas.openxmlformats.org/officeDocument/2006/relationships/hyperlink" Target="http://onlinelibrary.wiley.com/doi/10.1002/ajh.v89.4/issuetoc" TargetMode="External"/><Relationship Id="rId27" Type="http://schemas.openxmlformats.org/officeDocument/2006/relationships/hyperlink" Target="http://www.ncbi.nlm.nih.gov/pubmed/?term=Strayer%20FH%5BAuthor%5D&amp;cauthor=true&amp;cauthor_uid=6928464" TargetMode="External"/><Relationship Id="rId30" Type="http://schemas.openxmlformats.org/officeDocument/2006/relationships/hyperlink" Target="http://www.ncbi.nlm.nih.gov/pubmed/?term=Lampkin%20BC%5BAuthor%5D&amp;cauthor=true&amp;cauthor_uid=6928464" TargetMode="External"/><Relationship Id="rId35" Type="http://schemas.openxmlformats.org/officeDocument/2006/relationships/hyperlink" Target="http://journals.sagepub.com/author/Palumbo%2C+Isabella" TargetMode="External"/><Relationship Id="rId43" Type="http://schemas.openxmlformats.org/officeDocument/2006/relationships/hyperlink" Target="http://www.ncbi.nlm.nih.gov/pubmed/25466373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ncbi.nlm.nih.gov/pubmed/?term=Askin%20FB%5BAuthor%5D&amp;cauthor=true&amp;cauthor_uid=69394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?term=Ragab%20AH%5BAuthor%5D&amp;cauthor=true&amp;cauthor_uid=6939470" TargetMode="External"/><Relationship Id="rId17" Type="http://schemas.openxmlformats.org/officeDocument/2006/relationships/hyperlink" Target="http://www.ncbi.nlm.nih.gov/pubmed/?term=Talbert%20J%5BAuthor%5D&amp;cauthor=true&amp;cauthor_uid=6939470" TargetMode="External"/><Relationship Id="rId25" Type="http://schemas.openxmlformats.org/officeDocument/2006/relationships/hyperlink" Target="http://www.ncbi.nlm.nih.gov/pubmed/?term=Ballard%20ET%5BAuthor%5D&amp;cauthor=true&amp;cauthor_uid=6928464" TargetMode="External"/><Relationship Id="rId33" Type="http://schemas.openxmlformats.org/officeDocument/2006/relationships/hyperlink" Target="http://journals.sagepub.com/author/Cucciarelli%2C+Francesca" TargetMode="External"/><Relationship Id="rId38" Type="http://schemas.openxmlformats.org/officeDocument/2006/relationships/hyperlink" Target="http://www.ncbi.nlm.nih.gov/pubmed/16414369" TargetMode="External"/><Relationship Id="rId46" Type="http://schemas.openxmlformats.org/officeDocument/2006/relationships/hyperlink" Target="http://www.ncbi.nlm.nih.gov/pubmed/25466373" TargetMode="External"/><Relationship Id="rId20" Type="http://schemas.openxmlformats.org/officeDocument/2006/relationships/hyperlink" Target="http://onlinelibrary.wiley.com/doi/10.1002/ajh.v89.4/issuetoc" TargetMode="External"/><Relationship Id="rId41" Type="http://schemas.openxmlformats.org/officeDocument/2006/relationships/hyperlink" Target="http://www.ncbi.nlm.nih.gov/pubmed/2546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В. Рунова</cp:lastModifiedBy>
  <cp:revision>2</cp:revision>
  <dcterms:created xsi:type="dcterms:W3CDTF">2018-09-19T13:57:00Z</dcterms:created>
  <dcterms:modified xsi:type="dcterms:W3CDTF">2018-09-19T13:57:00Z</dcterms:modified>
</cp:coreProperties>
</file>